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8BF" w:rsidRPr="00B10239" w:rsidRDefault="004958BF" w:rsidP="004958BF">
      <w:pPr>
        <w:pStyle w:val="Heading1"/>
      </w:pPr>
      <w:r w:rsidRPr="00B10239">
        <w:t>GLYCINE HYDROXYSUCCINIMIDE ESTER (BOC-)    CAS # 3392072</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S</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PHYSICAL CHARACTERISTICS</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PHYSICAL STATE:  Solid</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SEGREGATION: SHELF # 2</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STORAGE GROUP(S):</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WASTE CHARACTERISTIC HAZARD:</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958BF" w:rsidRPr="00B10239" w:rsidRDefault="004958BF" w:rsidP="004958B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Store at -20°C</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REACTIVE PROPERTIES</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STORAGE   Store at -20░C</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EU ADDITIONAL CLASSIFICATION</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S: 22 24/25</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4958BF" w:rsidRPr="00B10239" w:rsidRDefault="004958BF" w:rsidP="004958B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4958BF" w:rsidRPr="00B10239" w:rsidRDefault="004958BF" w:rsidP="004958BF">
      <w:pPr>
        <w:pStyle w:val="PlainText"/>
        <w:rPr>
          <w:rFonts w:ascii="Courier New" w:hAnsi="Courier New" w:cs="Courier New"/>
          <w:sz w:val="20"/>
        </w:rPr>
      </w:pPr>
    </w:p>
    <w:p w:rsidR="004958BF" w:rsidRPr="00B10239" w:rsidRDefault="004958BF" w:rsidP="004958B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8BF"/>
    <w:rsid w:val="004958B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58B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8BF"/>
    <w:rPr>
      <w:rFonts w:ascii="Courier New" w:eastAsia="Times New Roman" w:hAnsi="Courier New" w:cs="Times New Roman"/>
      <w:b/>
      <w:bCs/>
      <w:sz w:val="20"/>
      <w:szCs w:val="28"/>
    </w:rPr>
  </w:style>
  <w:style w:type="paragraph" w:styleId="NoSpacing">
    <w:name w:val="No Spacing"/>
    <w:autoRedefine/>
    <w:uiPriority w:val="1"/>
    <w:qFormat/>
    <w:rsid w:val="004958B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958B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958B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58B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8BF"/>
    <w:rPr>
      <w:rFonts w:ascii="Courier New" w:eastAsia="Times New Roman" w:hAnsi="Courier New" w:cs="Times New Roman"/>
      <w:b/>
      <w:bCs/>
      <w:sz w:val="20"/>
      <w:szCs w:val="28"/>
    </w:rPr>
  </w:style>
  <w:style w:type="paragraph" w:styleId="NoSpacing">
    <w:name w:val="No Spacing"/>
    <w:autoRedefine/>
    <w:uiPriority w:val="1"/>
    <w:qFormat/>
    <w:rsid w:val="004958B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958B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958B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